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474655" w14:textId="77777777" w:rsidR="00E66FFA" w:rsidRDefault="000C47DC" w:rsidP="0009791A">
      <w:pPr>
        <w:spacing w:after="40"/>
        <w:jc w:val="both"/>
      </w:pPr>
      <w:r>
        <w:rPr>
          <w:b/>
          <w:sz w:val="28"/>
        </w:rPr>
        <w:t>Response to Reviewers</w:t>
      </w:r>
    </w:p>
    <w:p w14:paraId="1E61FD74" w14:textId="77777777" w:rsidR="00E66FFA" w:rsidRDefault="000C47DC" w:rsidP="0009791A">
      <w:pPr>
        <w:spacing w:after="40"/>
        <w:jc w:val="both"/>
      </w:pPr>
      <w:r>
        <w:t>Manuscript number: egusphere-2025-6470</w:t>
      </w:r>
    </w:p>
    <w:p w14:paraId="30450510" w14:textId="77777777" w:rsidR="00E66FFA" w:rsidRDefault="000C47DC" w:rsidP="0009791A">
      <w:pPr>
        <w:spacing w:after="40"/>
        <w:jc w:val="both"/>
        <w:rPr>
          <w:rFonts w:eastAsia="宋体"/>
          <w:lang w:eastAsia="zh-CN"/>
        </w:rPr>
      </w:pPr>
      <w:r>
        <w:t>Title: Elucidating CO</w:t>
      </w:r>
      <w:r w:rsidRPr="00F106AA">
        <w:rPr>
          <w:vertAlign w:val="subscript"/>
        </w:rPr>
        <w:t>2</w:t>
      </w:r>
      <w:r>
        <w:t xml:space="preserve"> accumulation and dispersion in a semi-enclosed bay industrial park using Lidar and WRF-GHG modelling</w:t>
      </w:r>
    </w:p>
    <w:p w14:paraId="3EA6F9A0" w14:textId="77777777" w:rsidR="00D37C50" w:rsidRPr="00D37C50" w:rsidRDefault="00D37C50" w:rsidP="0009791A">
      <w:pPr>
        <w:spacing w:after="40"/>
        <w:jc w:val="both"/>
        <w:rPr>
          <w:rFonts w:eastAsia="宋体"/>
          <w:lang w:eastAsia="zh-CN"/>
        </w:rPr>
      </w:pPr>
    </w:p>
    <w:p w14:paraId="0E4E9621" w14:textId="13CB97D3" w:rsidR="00E66FFA" w:rsidRPr="00D71A3C" w:rsidRDefault="000C47DC" w:rsidP="0009791A">
      <w:pPr>
        <w:spacing w:after="160"/>
        <w:jc w:val="both"/>
        <w:rPr>
          <w:rFonts w:eastAsia="宋体" w:hint="eastAsia"/>
          <w:lang w:eastAsia="zh-CN"/>
        </w:rPr>
      </w:pPr>
      <w:r>
        <w:t>We thank Reviewer #1 for the positive assessment and the constructive comments. We have revised the manuscript carefully. The point-by-point responses are given below.</w:t>
      </w:r>
      <w:r w:rsidR="00D71A3C">
        <w:rPr>
          <w:rFonts w:eastAsia="宋体" w:hint="eastAsia"/>
          <w:lang w:eastAsia="zh-CN"/>
        </w:rPr>
        <w:t xml:space="preserve"> </w:t>
      </w:r>
      <w:r w:rsidR="00D71A3C" w:rsidRPr="00A3334B">
        <w:rPr>
          <w:rFonts w:cs="Times New Roman"/>
          <w:szCs w:val="21"/>
        </w:rPr>
        <w:t>All changes made in the revised manuscript are marked in blue.</w:t>
      </w:r>
    </w:p>
    <w:p w14:paraId="77E2196C" w14:textId="77777777" w:rsidR="00E66FFA" w:rsidRDefault="000C47DC" w:rsidP="0009791A">
      <w:pPr>
        <w:spacing w:after="80"/>
        <w:jc w:val="both"/>
      </w:pPr>
      <w:r>
        <w:rPr>
          <w:b/>
          <w:sz w:val="24"/>
        </w:rPr>
        <w:t>Reviewer #1</w:t>
      </w:r>
    </w:p>
    <w:p w14:paraId="37F62F3C" w14:textId="35EF5F4C" w:rsidR="00E66FFA" w:rsidRDefault="000C47DC" w:rsidP="0009791A">
      <w:pPr>
        <w:spacing w:after="40"/>
        <w:jc w:val="both"/>
      </w:pPr>
      <w:r>
        <w:t>1. In Figure 3d and the corresponding text, the authors point out that the WRF-GHG model systematically underestimates CO</w:t>
      </w:r>
      <w:r w:rsidRPr="00F106AA">
        <w:rPr>
          <w:vertAlign w:val="subscript"/>
        </w:rPr>
        <w:t>2</w:t>
      </w:r>
      <w:r>
        <w:t xml:space="preserve"> levels, simulating concentrations of 420-460 ppm, whereas the Lidar measured 450-800 ppm. Although the authors provide a reasonable explanation by attributing this to the coarse spatiotemporal resolution of the EDGAR inventory and the complex bay topography, the simulated values still appear to be overly close to the background concentration levels. The authors are suggested to carefully double-check their emission flux inputs, boundary conditions processing, and the overall simulation setup. Furthermore, it is recommended to add a paragraph in the Discussion section to specifically explore the detailed reasons why the WRF simulated values are significantly lower in the specific industrial park where the Lidar was deployed.</w:t>
      </w:r>
    </w:p>
    <w:p w14:paraId="3B27C5B2" w14:textId="77777777" w:rsidR="0077719B" w:rsidRDefault="0077719B" w:rsidP="0009791A">
      <w:pPr>
        <w:spacing w:after="40"/>
        <w:jc w:val="both"/>
      </w:pPr>
    </w:p>
    <w:p w14:paraId="7A7ED2F5" w14:textId="60B83132" w:rsidR="00E66FFA" w:rsidRDefault="000C47DC" w:rsidP="0009791A">
      <w:pPr>
        <w:jc w:val="both"/>
        <w:rPr>
          <w:rFonts w:eastAsia="宋体"/>
          <w:color w:val="0070C0"/>
          <w:kern w:val="2"/>
          <w:sz w:val="21"/>
          <w:lang w:eastAsia="zh-CN"/>
        </w:rPr>
      </w:pPr>
      <w:r w:rsidRPr="0077719B">
        <w:rPr>
          <w:rFonts w:eastAsia="Times New Roman"/>
          <w:color w:val="0070C0"/>
          <w:kern w:val="2"/>
          <w:sz w:val="21"/>
          <w:lang w:eastAsia="zh-CN"/>
        </w:rPr>
        <w:t xml:space="preserve">We thank the reviewer for this comment. We re-checked the emission inputs, boundary processing, and model setup. We found a unit-conversion error in the original inventory preprocessing and corrected it. We then refined the EDGAR inventory in two steps. Industrial emissions were redistributed onto actual plant footprints, and land-sea mixed grids were corrected (EDGAR_S). A SNAP3 vertical profile </w:t>
      </w:r>
      <w:r w:rsidRPr="0077719B">
        <w:rPr>
          <w:rFonts w:eastAsia="Times New Roman" w:hint="eastAsia"/>
          <w:color w:val="0070C0"/>
          <w:kern w:val="2"/>
          <w:sz w:val="21"/>
          <w:lang w:eastAsia="zh-CN"/>
        </w:rPr>
        <w:t>(</w:t>
      </w:r>
      <w:r w:rsidRPr="0077719B">
        <w:rPr>
          <w:rFonts w:eastAsia="Times New Roman"/>
          <w:color w:val="0070C0"/>
          <w:kern w:val="2"/>
          <w:sz w:val="21"/>
          <w:lang w:eastAsia="zh-CN"/>
        </w:rPr>
        <w:t>Brunner et al., 2019)</w:t>
      </w:r>
      <w:r w:rsidRPr="0077719B">
        <w:rPr>
          <w:rFonts w:eastAsia="Times New Roman" w:hint="eastAsia"/>
          <w:color w:val="0070C0"/>
          <w:kern w:val="2"/>
          <w:sz w:val="21"/>
          <w:lang w:eastAsia="zh-CN"/>
        </w:rPr>
        <w:t xml:space="preserve"> </w:t>
      </w:r>
      <w:r w:rsidRPr="0077719B">
        <w:rPr>
          <w:rFonts w:eastAsia="Times New Roman"/>
          <w:color w:val="0070C0"/>
          <w:kern w:val="2"/>
          <w:sz w:val="21"/>
          <w:lang w:eastAsia="zh-CN"/>
        </w:rPr>
        <w:t>was then added (EDGAR_P). These steps sharply reduced the low bias, with the mean bias improving from -169.5 ppm (raw EDGAR) to -115.9 ppm (EDGAR_S). Section 4 now discusses the remaining near-source underestimate: EDGAR_P still places part of the emissions above the true (low) stack height, so the model misses the highest Lidar values under calm nights. Details are in Figs. 2, 11 and Section 4.</w:t>
      </w:r>
    </w:p>
    <w:p w14:paraId="74E25D7A" w14:textId="77777777" w:rsidR="00027EDB" w:rsidRDefault="00027EDB" w:rsidP="0009791A">
      <w:pPr>
        <w:keepNext/>
        <w:jc w:val="both"/>
      </w:pPr>
      <w:r>
        <w:rPr>
          <w:noProof/>
        </w:rPr>
        <w:lastRenderedPageBreak/>
        <w:drawing>
          <wp:inline distT="0" distB="0" distL="0" distR="0" wp14:anchorId="5E4D98FC" wp14:editId="61F2DEE6">
            <wp:extent cx="4603750" cy="2571750"/>
            <wp:effectExtent l="0" t="0" r="6350" b="0"/>
            <wp:docPr id="20165326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53266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03750" cy="2571750"/>
                    </a:xfrm>
                    <a:prstGeom prst="rect">
                      <a:avLst/>
                    </a:prstGeom>
                    <a:noFill/>
                    <a:ln>
                      <a:noFill/>
                    </a:ln>
                  </pic:spPr>
                </pic:pic>
              </a:graphicData>
            </a:graphic>
          </wp:inline>
        </w:drawing>
      </w:r>
    </w:p>
    <w:p w14:paraId="2B28FBB8" w14:textId="77777777" w:rsidR="00027EDB" w:rsidRPr="00027EDB" w:rsidRDefault="00027EDB" w:rsidP="0009791A">
      <w:pPr>
        <w:pStyle w:val="a7"/>
        <w:spacing w:line="276" w:lineRule="auto"/>
        <w:jc w:val="both"/>
        <w:rPr>
          <w:color w:val="0070C0"/>
          <w:lang w:eastAsia="zh-CN"/>
        </w:rPr>
      </w:pPr>
      <w:bookmarkStart w:id="0" w:name="_Ref237567898"/>
      <w:r w:rsidRPr="00027EDB">
        <w:rPr>
          <w:color w:val="0070C0"/>
        </w:rPr>
        <w:t xml:space="preserve">Figure </w:t>
      </w:r>
      <w:r w:rsidRPr="00027EDB">
        <w:rPr>
          <w:color w:val="0070C0"/>
        </w:rPr>
        <w:fldChar w:fldCharType="begin"/>
      </w:r>
      <w:r w:rsidRPr="00027EDB">
        <w:rPr>
          <w:color w:val="0070C0"/>
        </w:rPr>
        <w:instrText xml:space="preserve"> SEQ Figure \* ARABIC </w:instrText>
      </w:r>
      <w:r w:rsidRPr="00027EDB">
        <w:rPr>
          <w:color w:val="0070C0"/>
        </w:rPr>
        <w:fldChar w:fldCharType="separate"/>
      </w:r>
      <w:r w:rsidRPr="00027EDB">
        <w:rPr>
          <w:color w:val="0070C0"/>
        </w:rPr>
        <w:t>2</w:t>
      </w:r>
      <w:r w:rsidRPr="00027EDB">
        <w:rPr>
          <w:color w:val="0070C0"/>
        </w:rPr>
        <w:fldChar w:fldCharType="end"/>
      </w:r>
      <w:bookmarkEnd w:id="0"/>
      <w:r w:rsidRPr="00027EDB">
        <w:rPr>
          <w:b w:val="0"/>
          <w:bCs w:val="0"/>
          <w:color w:val="0070C0"/>
        </w:rPr>
        <w:t xml:space="preserve"> Comparison between raw EDGAR and EDGAR_S emission fields at 08:00 on 25 March 2025. EDGAR_S denotes the emission inventory after industrial‑source spatial redistribution and land‑sea mixed‑grid correction.</w:t>
      </w:r>
    </w:p>
    <w:p w14:paraId="08CC5C39" w14:textId="77777777" w:rsidR="00027EDB" w:rsidRDefault="00027EDB" w:rsidP="0009791A">
      <w:pPr>
        <w:jc w:val="both"/>
        <w:rPr>
          <w:lang w:eastAsia="zh-CN"/>
        </w:rPr>
      </w:pPr>
      <w:r>
        <w:rPr>
          <w:noProof/>
        </w:rPr>
        <w:drawing>
          <wp:inline distT="0" distB="0" distL="0" distR="0" wp14:anchorId="051D81B9" wp14:editId="58065B4A">
            <wp:extent cx="4667250" cy="3740785"/>
            <wp:effectExtent l="0" t="0" r="0" b="0"/>
            <wp:docPr id="49935881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58814" name="图片 5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667250" cy="3740785"/>
                    </a:xfrm>
                    <a:prstGeom prst="rect">
                      <a:avLst/>
                    </a:prstGeom>
                    <a:noFill/>
                    <a:ln>
                      <a:noFill/>
                    </a:ln>
                  </pic:spPr>
                </pic:pic>
              </a:graphicData>
            </a:graphic>
          </wp:inline>
        </w:drawing>
      </w:r>
    </w:p>
    <w:p w14:paraId="22FAA876" w14:textId="77777777" w:rsidR="00027EDB" w:rsidRPr="00027EDB" w:rsidRDefault="00027EDB" w:rsidP="0009791A">
      <w:pPr>
        <w:pStyle w:val="a7"/>
        <w:spacing w:line="276" w:lineRule="auto"/>
        <w:jc w:val="both"/>
        <w:rPr>
          <w:b w:val="0"/>
          <w:bCs w:val="0"/>
          <w:color w:val="0070C0"/>
          <w:lang w:eastAsia="zh-CN"/>
        </w:rPr>
      </w:pPr>
      <w:bookmarkStart w:id="1" w:name="_Ref216303590"/>
      <w:r w:rsidRPr="00027EDB">
        <w:rPr>
          <w:color w:val="0070C0"/>
        </w:rPr>
        <w:t xml:space="preserve">Figure </w:t>
      </w:r>
      <w:r w:rsidRPr="00027EDB">
        <w:rPr>
          <w:color w:val="0070C0"/>
        </w:rPr>
        <w:fldChar w:fldCharType="begin"/>
      </w:r>
      <w:r w:rsidRPr="00027EDB">
        <w:rPr>
          <w:color w:val="0070C0"/>
        </w:rPr>
        <w:instrText xml:space="preserve"> SEQ Figure \* ARABIC </w:instrText>
      </w:r>
      <w:r w:rsidRPr="00027EDB">
        <w:rPr>
          <w:color w:val="0070C0"/>
        </w:rPr>
        <w:fldChar w:fldCharType="separate"/>
      </w:r>
      <w:r w:rsidRPr="00027EDB">
        <w:rPr>
          <w:color w:val="0070C0"/>
        </w:rPr>
        <w:t>11</w:t>
      </w:r>
      <w:r w:rsidRPr="00027EDB">
        <w:rPr>
          <w:color w:val="0070C0"/>
        </w:rPr>
        <w:fldChar w:fldCharType="end"/>
      </w:r>
      <w:bookmarkEnd w:id="1"/>
      <w:r w:rsidRPr="00027EDB">
        <w:rPr>
          <w:rFonts w:hint="eastAsia"/>
          <w:color w:val="0070C0"/>
          <w:lang w:eastAsia="zh-CN"/>
        </w:rPr>
        <w:t xml:space="preserve">. </w:t>
      </w:r>
      <w:r w:rsidRPr="00027EDB">
        <w:rPr>
          <w:b w:val="0"/>
          <w:bCs w:val="0"/>
          <w:color w:val="0070C0"/>
          <w:lang w:eastAsia="zh-CN"/>
        </w:rPr>
        <w:t xml:space="preserve">Time-series heatmaps of </w:t>
      </w:r>
      <w:r w:rsidRPr="00027EDB">
        <w:rPr>
          <w:b w:val="0"/>
          <w:bCs w:val="0"/>
          <w:color w:val="0070C0"/>
        </w:rPr>
        <w:t>CO</w:t>
      </w:r>
      <w:r w:rsidRPr="00027EDB">
        <w:rPr>
          <w:rFonts w:hint="eastAsia"/>
          <w:b w:val="0"/>
          <w:bCs w:val="0"/>
          <w:color w:val="0070C0"/>
          <w:vertAlign w:val="subscript"/>
        </w:rPr>
        <w:t>2</w:t>
      </w:r>
      <w:r w:rsidRPr="00027EDB">
        <w:rPr>
          <w:b w:val="0"/>
          <w:bCs w:val="0"/>
          <w:color w:val="0070C0"/>
          <w:lang w:eastAsia="zh-CN"/>
        </w:rPr>
        <w:t xml:space="preserve"> Lidar </w:t>
      </w:r>
      <w:r w:rsidRPr="00027EDB">
        <w:rPr>
          <w:b w:val="0"/>
          <w:bCs w:val="0"/>
          <w:color w:val="0070C0"/>
        </w:rPr>
        <w:t>observations</w:t>
      </w:r>
      <w:r w:rsidRPr="00027EDB">
        <w:rPr>
          <w:b w:val="0"/>
          <w:bCs w:val="0"/>
          <w:color w:val="0070C0"/>
          <w:lang w:eastAsia="zh-CN"/>
        </w:rPr>
        <w:t xml:space="preserve"> and WRF simulation results from 00:00 local time (LT; UTC+8) on 2</w:t>
      </w:r>
      <w:r w:rsidRPr="00027EDB">
        <w:rPr>
          <w:rFonts w:hint="eastAsia"/>
          <w:b w:val="0"/>
          <w:bCs w:val="0"/>
          <w:color w:val="0070C0"/>
          <w:lang w:eastAsia="zh-CN"/>
        </w:rPr>
        <w:t>3</w:t>
      </w:r>
      <w:r w:rsidRPr="00027EDB">
        <w:rPr>
          <w:b w:val="0"/>
          <w:bCs w:val="0"/>
          <w:color w:val="0070C0"/>
          <w:lang w:eastAsia="zh-CN"/>
        </w:rPr>
        <w:t xml:space="preserve"> March to 00:00 LT on 27 March 2025; (a) shows the distribution results of </w:t>
      </w:r>
      <w:r w:rsidRPr="00027EDB">
        <w:rPr>
          <w:b w:val="0"/>
          <w:bCs w:val="0"/>
          <w:color w:val="0070C0"/>
        </w:rPr>
        <w:t>CO</w:t>
      </w:r>
      <w:r w:rsidRPr="00027EDB">
        <w:rPr>
          <w:rFonts w:hint="eastAsia"/>
          <w:b w:val="0"/>
          <w:bCs w:val="0"/>
          <w:color w:val="0070C0"/>
          <w:vertAlign w:val="subscript"/>
        </w:rPr>
        <w:t>2</w:t>
      </w:r>
      <w:r w:rsidRPr="00027EDB">
        <w:rPr>
          <w:b w:val="0"/>
          <w:bCs w:val="0"/>
          <w:color w:val="0070C0"/>
          <w:lang w:eastAsia="zh-CN"/>
        </w:rPr>
        <w:t xml:space="preserve"> detected by the </w:t>
      </w:r>
      <w:r w:rsidRPr="00027EDB">
        <w:rPr>
          <w:b w:val="0"/>
          <w:bCs w:val="0"/>
          <w:color w:val="0070C0"/>
        </w:rPr>
        <w:t>CO</w:t>
      </w:r>
      <w:r w:rsidRPr="00027EDB">
        <w:rPr>
          <w:rFonts w:hint="eastAsia"/>
          <w:b w:val="0"/>
          <w:bCs w:val="0"/>
          <w:color w:val="0070C0"/>
          <w:vertAlign w:val="subscript"/>
        </w:rPr>
        <w:t>2</w:t>
      </w:r>
      <w:r w:rsidRPr="00027EDB">
        <w:rPr>
          <w:b w:val="0"/>
          <w:bCs w:val="0"/>
          <w:color w:val="0070C0"/>
          <w:lang w:eastAsia="zh-CN"/>
        </w:rPr>
        <w:t xml:space="preserve"> Lidar converted to vertical height, where the portion above 500 m (white dashed line) is invalid data; (b) presents the WRF-simulated </w:t>
      </w:r>
      <w:r w:rsidRPr="00027EDB">
        <w:rPr>
          <w:b w:val="0"/>
          <w:bCs w:val="0"/>
          <w:color w:val="0070C0"/>
        </w:rPr>
        <w:t>CO</w:t>
      </w:r>
      <w:r w:rsidRPr="00027EDB">
        <w:rPr>
          <w:rFonts w:hint="eastAsia"/>
          <w:b w:val="0"/>
          <w:bCs w:val="0"/>
          <w:color w:val="0070C0"/>
          <w:vertAlign w:val="subscript"/>
        </w:rPr>
        <w:t>2</w:t>
      </w:r>
      <w:r w:rsidRPr="00027EDB">
        <w:rPr>
          <w:b w:val="0"/>
          <w:bCs w:val="0"/>
          <w:color w:val="0070C0"/>
          <w:lang w:eastAsia="zh-CN"/>
        </w:rPr>
        <w:t xml:space="preserve"> concentrations at the park location, with the black solid line representing the model-output BLH; (c)–(e) are the model-output vertical wind speed, horizontal wind speed, and horizontal wind direction, respectively; (f) is the model-output air temperature, </w:t>
      </w:r>
      <w:bookmarkStart w:id="2" w:name="OLE_LINK13"/>
      <w:r w:rsidRPr="00027EDB">
        <w:rPr>
          <w:b w:val="0"/>
          <w:bCs w:val="0"/>
          <w:color w:val="0070C0"/>
          <w:lang w:eastAsia="zh-CN"/>
        </w:rPr>
        <w:t>where the black dashed line denotes the strongest temperature inversion layer with a temperature gradient exceeding 0.5 °C 100 m⁻¹.</w:t>
      </w:r>
      <w:bookmarkEnd w:id="2"/>
    </w:p>
    <w:p w14:paraId="2B4E460E" w14:textId="77777777" w:rsidR="00027EDB" w:rsidRPr="00027EDB" w:rsidRDefault="00027EDB" w:rsidP="0009791A">
      <w:pPr>
        <w:jc w:val="both"/>
        <w:rPr>
          <w:rFonts w:eastAsia="宋体"/>
          <w:color w:val="0070C0"/>
          <w:kern w:val="2"/>
          <w:sz w:val="21"/>
          <w:lang w:eastAsia="zh-CN"/>
        </w:rPr>
      </w:pPr>
    </w:p>
    <w:p w14:paraId="6E6FE9C0" w14:textId="0423DD10" w:rsidR="00E66FFA" w:rsidRDefault="000C47DC" w:rsidP="0009791A">
      <w:pPr>
        <w:spacing w:after="40"/>
        <w:jc w:val="both"/>
      </w:pPr>
      <w:r>
        <w:t>2. From the WRF surface simulation results in Figures 4 to 6 (panels i-p), a large area of high CO2 concentration is visible in the southern region of Luoyuan Bay. The southern bank hosts thermal power plants and petrochemical projects. Does the current Lidar scanning range (azimuth 306-16) fail to cover this high-emission southern area? It is recommended to add a sentence or two in the main text (e.g., Section 3.3) to clarify the spatial relationship between the Lidar field of view and the high-emission areas in the southern bay.</w:t>
      </w:r>
    </w:p>
    <w:p w14:paraId="6EE453F9" w14:textId="77777777" w:rsidR="0077719B" w:rsidRDefault="0077719B" w:rsidP="0009791A">
      <w:pPr>
        <w:spacing w:after="40"/>
        <w:jc w:val="both"/>
      </w:pPr>
    </w:p>
    <w:p w14:paraId="5667688E" w14:textId="4A971B36" w:rsidR="00E66FFA" w:rsidRDefault="000C47DC" w:rsidP="0009791A">
      <w:pPr>
        <w:jc w:val="both"/>
        <w:rPr>
          <w:rFonts w:eastAsia="Times New Roman"/>
          <w:color w:val="0070C0"/>
          <w:kern w:val="2"/>
          <w:sz w:val="21"/>
          <w:lang w:eastAsia="zh-CN"/>
        </w:rPr>
      </w:pPr>
      <w:r w:rsidRPr="0077719B">
        <w:rPr>
          <w:rFonts w:eastAsia="Times New Roman"/>
          <w:color w:val="0070C0"/>
          <w:kern w:val="2"/>
          <w:sz w:val="21"/>
          <w:lang w:eastAsia="zh-CN"/>
        </w:rPr>
        <w:t>We thank the reviewer for this comment. We clarified the spatial relationship in Fig. 1 and Section 3.3. The Lidar scans the northern industrial park core at an azimuth of 306-16. The high-emission southern bank (thermal power and petrochemical plants) lies outside this sector. The Lidar statistics therefore represent the northern park. The southern high-concentration area shown in Figs. 4-6 comes from the WRF simulation only.</w:t>
      </w:r>
    </w:p>
    <w:p w14:paraId="21FBBBF6" w14:textId="77777777" w:rsidR="0077719B" w:rsidRPr="0077719B" w:rsidRDefault="0077719B" w:rsidP="0009791A">
      <w:pPr>
        <w:jc w:val="both"/>
        <w:rPr>
          <w:rFonts w:eastAsia="Times New Roman"/>
          <w:color w:val="0070C0"/>
          <w:kern w:val="2"/>
          <w:sz w:val="21"/>
          <w:lang w:eastAsia="zh-CN"/>
        </w:rPr>
      </w:pPr>
    </w:p>
    <w:p w14:paraId="5822E886" w14:textId="66DA0D86" w:rsidR="00E66FFA" w:rsidRDefault="000C47DC" w:rsidP="0009791A">
      <w:pPr>
        <w:spacing w:after="40"/>
        <w:jc w:val="both"/>
      </w:pPr>
      <w:r>
        <w:t>3. The manuscript describes that the Lidar used a fixed elevation angle of 10 degrees during synchronous detection. At a radial distance of 1-2 km, the actual beam height reaches about 170-350 m above ground. However, in the comparison of Figures 4 to 6, the authors present WRF-GHG results for the surface layer. The authors should clarify whether they extracted the lowest model layer or the layer matching the actual beam height, and discuss the potential uncertainty from this altitude mismatch if the surface layer was used.</w:t>
      </w:r>
    </w:p>
    <w:p w14:paraId="5645B0A9" w14:textId="77777777" w:rsidR="0077719B" w:rsidRDefault="0077719B" w:rsidP="0009791A">
      <w:pPr>
        <w:spacing w:after="40"/>
        <w:jc w:val="both"/>
      </w:pPr>
    </w:p>
    <w:p w14:paraId="4E3F4DD2" w14:textId="046359F0" w:rsidR="00E66FFA" w:rsidRDefault="000C47DC" w:rsidP="0009791A">
      <w:pPr>
        <w:jc w:val="both"/>
        <w:rPr>
          <w:rFonts w:eastAsia="Times New Roman"/>
          <w:color w:val="0070C0"/>
          <w:kern w:val="2"/>
          <w:sz w:val="21"/>
          <w:lang w:eastAsia="zh-CN"/>
        </w:rPr>
      </w:pPr>
      <w:r w:rsidRPr="0077719B">
        <w:rPr>
          <w:rFonts w:eastAsia="Times New Roman"/>
          <w:color w:val="0070C0"/>
          <w:kern w:val="2"/>
          <w:sz w:val="21"/>
          <w:lang w:eastAsia="zh-CN"/>
        </w:rPr>
        <w:t xml:space="preserve">We thank the reviewer for raising this. We originally used the model surface layer, which mismatched the Lidar beam height. We now extract WRF-GHG output at the layers matching the actual Lidar sampling altitude (layer-averaged over 80-300 m, the beam height for the 10 degree elevation over the source region). This removes the altitude mismatch in the comparison. The change is applied in Figs. </w:t>
      </w:r>
      <w:r w:rsidRPr="0077719B">
        <w:rPr>
          <w:rFonts w:eastAsia="Times New Roman" w:hint="eastAsia"/>
          <w:color w:val="0070C0"/>
          <w:kern w:val="2"/>
          <w:sz w:val="21"/>
          <w:lang w:eastAsia="zh-CN"/>
        </w:rPr>
        <w:t>7</w:t>
      </w:r>
      <w:r w:rsidRPr="0077719B">
        <w:rPr>
          <w:rFonts w:eastAsia="Times New Roman"/>
          <w:color w:val="0070C0"/>
          <w:kern w:val="2"/>
          <w:sz w:val="21"/>
          <w:lang w:eastAsia="zh-CN"/>
        </w:rPr>
        <w:t>-11 and Section 3.</w:t>
      </w:r>
    </w:p>
    <w:p w14:paraId="727E002F" w14:textId="77777777" w:rsidR="0077719B" w:rsidRPr="001D5C8C" w:rsidRDefault="0077719B" w:rsidP="0009791A">
      <w:pPr>
        <w:jc w:val="both"/>
        <w:rPr>
          <w:rFonts w:eastAsia="Times New Roman"/>
          <w:color w:val="0070C0"/>
          <w:kern w:val="2"/>
          <w:sz w:val="21"/>
          <w:lang w:eastAsia="zh-CN"/>
        </w:rPr>
      </w:pPr>
    </w:p>
    <w:p w14:paraId="6D9955C4" w14:textId="695F384C" w:rsidR="00E66FFA" w:rsidRDefault="000C47DC" w:rsidP="0009791A">
      <w:pPr>
        <w:spacing w:after="40"/>
        <w:jc w:val="both"/>
      </w:pPr>
      <w:r>
        <w:t>4. Regarding the VPRM model used for the online calculation of biogenic CO2 fluxes, its accuracy highly depends on vegetation-specific parameters (e.g., maximum light use efficiency and respiration parameters). Could the authors briefly clarify the VPRM parameters used in the study?</w:t>
      </w:r>
    </w:p>
    <w:p w14:paraId="04FF99B9" w14:textId="77777777" w:rsidR="0077719B" w:rsidRDefault="0077719B" w:rsidP="0009791A">
      <w:pPr>
        <w:spacing w:after="40"/>
        <w:jc w:val="both"/>
      </w:pPr>
    </w:p>
    <w:p w14:paraId="2E7C304C" w14:textId="7A0D77F3" w:rsidR="00E66FFA" w:rsidRPr="0077719B" w:rsidRDefault="000C47DC" w:rsidP="0009791A">
      <w:pPr>
        <w:jc w:val="both"/>
        <w:rPr>
          <w:rFonts w:eastAsia="Times New Roman"/>
          <w:color w:val="0070C0"/>
          <w:kern w:val="2"/>
          <w:sz w:val="21"/>
          <w:lang w:eastAsia="zh-CN"/>
        </w:rPr>
      </w:pPr>
      <w:r w:rsidRPr="0077719B">
        <w:rPr>
          <w:rFonts w:eastAsia="Times New Roman"/>
          <w:color w:val="0070C0"/>
          <w:kern w:val="2"/>
          <w:sz w:val="21"/>
          <w:lang w:eastAsia="zh-CN"/>
        </w:rPr>
        <w:t>We thank the reviewer for this question. The VPRM (Ahmadov et al., 2007) was run online within WRF-GHG. We used the Copernicus CLMS 100 m land-cover dataset (2019) and MODIS-derived EVI/LSWI via pyVPRM (Glauch et al., 2025). The VPRM parameters used in this study are taken from the parameter table of Li et al. (2020).These settings are now stated explicitly in Section 2</w:t>
      </w:r>
      <w:r w:rsidR="00EE6C02">
        <w:rPr>
          <w:rFonts w:eastAsia="宋体" w:hint="eastAsia"/>
          <w:color w:val="0070C0"/>
          <w:kern w:val="2"/>
          <w:sz w:val="21"/>
          <w:lang w:eastAsia="zh-CN"/>
        </w:rPr>
        <w:t>.3.1</w:t>
      </w:r>
      <w:r w:rsidRPr="0077719B">
        <w:rPr>
          <w:rFonts w:eastAsia="Times New Roman"/>
          <w:color w:val="0070C0"/>
          <w:kern w:val="2"/>
          <w:sz w:val="21"/>
          <w:lang w:eastAsia="zh-CN"/>
        </w:rPr>
        <w:t xml:space="preserve">. </w:t>
      </w:r>
    </w:p>
    <w:p w14:paraId="6D55A341" w14:textId="77777777" w:rsidR="00E66FFA" w:rsidRDefault="00E66FFA" w:rsidP="0009791A">
      <w:pPr>
        <w:jc w:val="both"/>
      </w:pPr>
    </w:p>
    <w:p w14:paraId="0964F80B" w14:textId="5CB90714" w:rsidR="00E66FFA" w:rsidRDefault="000C47DC" w:rsidP="0009791A">
      <w:pPr>
        <w:spacing w:after="40"/>
        <w:jc w:val="both"/>
      </w:pPr>
      <w:r>
        <w:t xml:space="preserve">5. The simulation period is stated as 5-31 March 2025, and the detailed analysis focuses on the high-concentration period of 24-26 March. Chemical transport models typically require a spin-up </w:t>
      </w:r>
      <w:r>
        <w:lastRenderedPageBreak/>
        <w:t>period. It is recommended to briefly state the length of the spin-up time allocated for the WRF-GHG simulations before the analysis period.</w:t>
      </w:r>
    </w:p>
    <w:p w14:paraId="41515EEF" w14:textId="77777777" w:rsidR="0077719B" w:rsidRPr="0077719B" w:rsidRDefault="0077719B" w:rsidP="0009791A">
      <w:pPr>
        <w:spacing w:after="40"/>
        <w:jc w:val="both"/>
        <w:rPr>
          <w:rFonts w:eastAsia="Times New Roman"/>
          <w:color w:val="0070C0"/>
          <w:kern w:val="2"/>
          <w:sz w:val="21"/>
          <w:lang w:eastAsia="zh-CN"/>
        </w:rPr>
      </w:pPr>
    </w:p>
    <w:p w14:paraId="018C6231" w14:textId="33CE8A9E" w:rsidR="00E66FFA" w:rsidRDefault="000C47DC" w:rsidP="0009791A">
      <w:pPr>
        <w:jc w:val="both"/>
        <w:rPr>
          <w:rFonts w:eastAsia="Times New Roman"/>
          <w:color w:val="0070C0"/>
          <w:kern w:val="2"/>
          <w:sz w:val="21"/>
          <w:lang w:eastAsia="zh-CN"/>
        </w:rPr>
      </w:pPr>
      <w:r w:rsidRPr="0077719B">
        <w:rPr>
          <w:rFonts w:eastAsia="Times New Roman"/>
          <w:color w:val="0070C0"/>
          <w:kern w:val="2"/>
          <w:sz w:val="21"/>
          <w:lang w:eastAsia="zh-CN"/>
        </w:rPr>
        <w:t>We thank the reviewer for this suggestion. We now state the spin-up explicitly in Section 2. The model was initialized on 5 March 2025 and run with a 13-day spin-up (5-17 March). The formal analysis uses 18-29 March, after the initial and boundary fields have stabilized.</w:t>
      </w:r>
    </w:p>
    <w:p w14:paraId="15A8AA24" w14:textId="77777777" w:rsidR="0077719B" w:rsidRPr="0077719B" w:rsidRDefault="0077719B" w:rsidP="0009791A">
      <w:pPr>
        <w:jc w:val="both"/>
        <w:rPr>
          <w:rFonts w:eastAsia="Times New Roman"/>
          <w:color w:val="0070C0"/>
          <w:kern w:val="2"/>
          <w:sz w:val="21"/>
          <w:lang w:eastAsia="zh-CN"/>
        </w:rPr>
      </w:pPr>
    </w:p>
    <w:p w14:paraId="019F9B04" w14:textId="77777777" w:rsidR="00E66FFA" w:rsidRDefault="000C47DC" w:rsidP="0009791A">
      <w:pPr>
        <w:spacing w:after="40"/>
        <w:jc w:val="both"/>
      </w:pPr>
      <w:r>
        <w:t>6. The innermost domain (d03) is set to 1 km x 1 km. While this is high resolution for regional modelling, Luoyuan Bay has a highly complex semi-enclosed terrain with steep mountains and narrow valleys. The authors are suggested to add a brief discussion on whether the 1 km grid is fine enough to resolve the microscale mechanical turbulence and terrain-forced wind channeling that dictate local CO2 accumulation, or whether LES scales (e.g., 100 m) might be needed in future works.</w:t>
      </w:r>
    </w:p>
    <w:p w14:paraId="630A982F" w14:textId="0293D949" w:rsidR="00E66FFA" w:rsidRPr="0077719B" w:rsidRDefault="000C47DC" w:rsidP="0009791A">
      <w:pPr>
        <w:jc w:val="both"/>
        <w:rPr>
          <w:rFonts w:eastAsia="Times New Roman"/>
          <w:color w:val="0070C0"/>
          <w:kern w:val="2"/>
          <w:sz w:val="21"/>
          <w:lang w:eastAsia="zh-CN"/>
        </w:rPr>
      </w:pPr>
      <w:r w:rsidRPr="0077719B">
        <w:rPr>
          <w:rFonts w:eastAsia="Times New Roman"/>
          <w:color w:val="0070C0"/>
          <w:kern w:val="2"/>
          <w:sz w:val="21"/>
          <w:lang w:eastAsia="zh-CN"/>
        </w:rPr>
        <w:t>We agree with the reviewer. A 1 km grid captures the dominant accumulation and dispersion patterns, but may not fully resolve the microscale mechanical turbulence and terrain-forced channeling in the steep, narrow valleys. We have added a short discussion in Section 4 (future work). It notes that large-eddy simulation (LES) at sub-kilometre (about 100 m) resolution is needed to capture these local topographic effects in follow-up studies.</w:t>
      </w:r>
    </w:p>
    <w:p w14:paraId="287D1D1A" w14:textId="77777777" w:rsidR="00E66FFA" w:rsidRPr="0077719B" w:rsidRDefault="000C47DC" w:rsidP="0009791A">
      <w:pPr>
        <w:spacing w:after="80"/>
        <w:jc w:val="both"/>
        <w:rPr>
          <w:b/>
          <w:sz w:val="24"/>
        </w:rPr>
      </w:pPr>
      <w:r w:rsidRPr="0077719B">
        <w:rPr>
          <w:rFonts w:hint="eastAsia"/>
          <w:b/>
          <w:sz w:val="24"/>
        </w:rPr>
        <w:t>Reference</w:t>
      </w:r>
    </w:p>
    <w:p w14:paraId="62D22764" w14:textId="77777777" w:rsidR="00E66FFA" w:rsidRPr="0077719B" w:rsidRDefault="000C47DC" w:rsidP="0009791A">
      <w:pPr>
        <w:pStyle w:val="19"/>
      </w:pPr>
      <w:r w:rsidRPr="0077719B">
        <w:t>Ahmadov, R., Gerbig, C., Kretschmer, R., Koerner, S., Neininger, B., Dolman, A. J., and Sarrat, C.: Mesoscale covariance of transport and CO2 fluxes: Evidence from observations and simulations using the WRF‐VPRM coupled atmosphere‐biosphere model, J. Geophys. Res.: Atmos., 112, 2007JD008552, https://doi.org/10.1029/2007JD008552, 2007.</w:t>
      </w:r>
    </w:p>
    <w:p w14:paraId="333E02F7" w14:textId="77777777" w:rsidR="00E66FFA" w:rsidRPr="0077719B" w:rsidRDefault="000C47DC" w:rsidP="0009791A">
      <w:pPr>
        <w:pStyle w:val="19"/>
      </w:pPr>
      <w:r w:rsidRPr="0077719B">
        <w:t>Brunner, D., Kuhlmann, G., Marshall, J., Clément, V., Fuhrer, O., Broquet, G., Löscher, A., and Meijer, Y.: Accounting for the vertical distribution of emissions in atmospheric CO₂ simulations, Atmos. Chem. Phys., 19, 4541–4559, https://doi.org/10.5194/acp-19-4541-2019, 2019.</w:t>
      </w:r>
    </w:p>
    <w:p w14:paraId="6D049D30" w14:textId="77777777" w:rsidR="00E66FFA" w:rsidRPr="0077719B" w:rsidRDefault="000C47DC" w:rsidP="0009791A">
      <w:pPr>
        <w:pStyle w:val="19"/>
      </w:pPr>
      <w:r w:rsidRPr="0077719B">
        <w:t>Glauch, T., Marshall, J., Gerbig, C., Botía, S., Gałkowski, M., Vardag, S. N., and Butz, A.: pyVPRM: a next-generation vegetation photosynthesis and respiration model for the post-MODIS era, https://doi.org/10.5194/egusphere-2024-3692, 21 January 2025.</w:t>
      </w:r>
    </w:p>
    <w:p w14:paraId="650F2402" w14:textId="77777777" w:rsidR="00E66FFA" w:rsidRPr="0077719B" w:rsidRDefault="000C47DC" w:rsidP="0009791A">
      <w:pPr>
        <w:pStyle w:val="19"/>
      </w:pPr>
      <w:r w:rsidRPr="0077719B">
        <w:t>Li, X., Hu, X.-M., Cai, C., Jia, Q., Zhang, Y., Liu, J., Xue, M., Xu, J., Wen, R., and Crowell, S. M. R.: Terrestrial CO₂ fluxes, concentrations, sources and budget in Northeast China: Observational and modeling studies, J. Geophys. Res.: Atmos., 125, e2019JD031686, https://doi.org/10.1029/2019JD031686, 2020.</w:t>
      </w:r>
    </w:p>
    <w:p w14:paraId="10E55E62" w14:textId="77777777" w:rsidR="00E66FFA" w:rsidRDefault="00E66FFA" w:rsidP="0009791A">
      <w:pPr>
        <w:pStyle w:val="af2"/>
        <w:spacing w:after="0" w:line="360" w:lineRule="auto"/>
        <w:jc w:val="both"/>
        <w:rPr>
          <w:rFonts w:eastAsia="Times New Roman" w:cs="Times New Roman"/>
          <w:color w:val="00B0F0"/>
          <w:sz w:val="20"/>
          <w:szCs w:val="24"/>
          <w:lang w:eastAsia="zh-CN" w:bidi="ar"/>
        </w:rPr>
      </w:pPr>
    </w:p>
    <w:p w14:paraId="4A62A088" w14:textId="77777777" w:rsidR="00E66FFA" w:rsidRDefault="00E66FFA" w:rsidP="0009791A">
      <w:pPr>
        <w:jc w:val="both"/>
        <w:rPr>
          <w:color w:val="00B0F0"/>
        </w:rPr>
      </w:pPr>
    </w:p>
    <w:p w14:paraId="44B54D75" w14:textId="77777777" w:rsidR="00E66FFA" w:rsidRDefault="00E66FFA" w:rsidP="0009791A">
      <w:pPr>
        <w:jc w:val="both"/>
        <w:rPr>
          <w:color w:val="00B0F0"/>
        </w:rPr>
      </w:pPr>
    </w:p>
    <w:sectPr w:rsidR="00E66FFA">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6267C" w14:textId="77777777" w:rsidR="000C0545" w:rsidRDefault="000C0545">
      <w:pPr>
        <w:spacing w:line="240" w:lineRule="auto"/>
      </w:pPr>
      <w:r>
        <w:separator/>
      </w:r>
    </w:p>
  </w:endnote>
  <w:endnote w:type="continuationSeparator" w:id="0">
    <w:p w14:paraId="77FE758C" w14:textId="77777777" w:rsidR="000C0545" w:rsidRDefault="000C05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08D9E" w14:textId="77777777" w:rsidR="000C0545" w:rsidRDefault="000C0545">
      <w:pPr>
        <w:spacing w:after="0"/>
      </w:pPr>
      <w:r>
        <w:separator/>
      </w:r>
    </w:p>
  </w:footnote>
  <w:footnote w:type="continuationSeparator" w:id="0">
    <w:p w14:paraId="1B900BEF" w14:textId="77777777" w:rsidR="000C0545" w:rsidRDefault="000C054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1080"/>
        </w:tabs>
        <w:ind w:left="1080" w:hanging="360"/>
      </w:pPr>
    </w:lvl>
  </w:abstractNum>
  <w:abstractNum w:abstractNumId="1" w15:restartNumberingAfterBreak="0">
    <w:nsid w:val="FFFFFF7F"/>
    <w:multiLevelType w:val="singleLevel"/>
    <w:tmpl w:val="FFFFFF7F"/>
    <w:lvl w:ilvl="0">
      <w:start w:val="1"/>
      <w:numFmt w:val="decimal"/>
      <w:pStyle w:val="2"/>
      <w:lvlText w:val="%1."/>
      <w:lvlJc w:val="left"/>
      <w:pPr>
        <w:tabs>
          <w:tab w:val="left" w:pos="720"/>
        </w:tabs>
        <w:ind w:left="720" w:hanging="360"/>
      </w:pPr>
    </w:lvl>
  </w:abstractNum>
  <w:abstractNum w:abstractNumId="2" w15:restartNumberingAfterBreak="0">
    <w:nsid w:val="FFFFFF82"/>
    <w:multiLevelType w:val="singleLevel"/>
    <w:tmpl w:val="FFFFFF82"/>
    <w:lvl w:ilvl="0">
      <w:start w:val="1"/>
      <w:numFmt w:val="bullet"/>
      <w:pStyle w:val="30"/>
      <w:lvlText w:val=""/>
      <w:lvlJc w:val="left"/>
      <w:pPr>
        <w:tabs>
          <w:tab w:val="left" w:pos="1080"/>
        </w:tabs>
        <w:ind w:left="1080" w:hanging="360"/>
      </w:pPr>
      <w:rPr>
        <w:rFonts w:ascii="Symbol" w:hAnsi="Symbol" w:hint="default"/>
      </w:rPr>
    </w:lvl>
  </w:abstractNum>
  <w:abstractNum w:abstractNumId="3" w15:restartNumberingAfterBreak="0">
    <w:nsid w:val="FFFFFF83"/>
    <w:multiLevelType w:val="singleLevel"/>
    <w:tmpl w:val="FFFFFF83"/>
    <w:lvl w:ilvl="0">
      <w:start w:val="1"/>
      <w:numFmt w:val="bullet"/>
      <w:pStyle w:val="20"/>
      <w:lvlText w:val=""/>
      <w:lvlJc w:val="left"/>
      <w:pPr>
        <w:tabs>
          <w:tab w:val="left" w:pos="720"/>
        </w:tabs>
        <w:ind w:left="720" w:hanging="360"/>
      </w:pPr>
      <w:rPr>
        <w:rFonts w:ascii="Symbol" w:hAnsi="Symbo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num w:numId="1" w16cid:durableId="1033269157">
    <w:abstractNumId w:val="1"/>
  </w:num>
  <w:num w:numId="2" w16cid:durableId="1309020394">
    <w:abstractNumId w:val="4"/>
  </w:num>
  <w:num w:numId="3" w16cid:durableId="820468354">
    <w:abstractNumId w:val="5"/>
  </w:num>
  <w:num w:numId="4" w16cid:durableId="1356811892">
    <w:abstractNumId w:val="2"/>
  </w:num>
  <w:num w:numId="5" w16cid:durableId="1765492326">
    <w:abstractNumId w:val="0"/>
  </w:num>
  <w:num w:numId="6" w16cid:durableId="8660602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720"/>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7EDB"/>
    <w:rsid w:val="00034616"/>
    <w:rsid w:val="0006063C"/>
    <w:rsid w:val="0009791A"/>
    <w:rsid w:val="000C0545"/>
    <w:rsid w:val="000C47DC"/>
    <w:rsid w:val="0015074B"/>
    <w:rsid w:val="001D5C8C"/>
    <w:rsid w:val="0029639D"/>
    <w:rsid w:val="00326F90"/>
    <w:rsid w:val="00442427"/>
    <w:rsid w:val="0077719B"/>
    <w:rsid w:val="008640A6"/>
    <w:rsid w:val="00990571"/>
    <w:rsid w:val="009D0452"/>
    <w:rsid w:val="00AA1D8D"/>
    <w:rsid w:val="00AE4A56"/>
    <w:rsid w:val="00B47730"/>
    <w:rsid w:val="00B878FE"/>
    <w:rsid w:val="00CB0664"/>
    <w:rsid w:val="00D37C50"/>
    <w:rsid w:val="00D71A3C"/>
    <w:rsid w:val="00DB6ACE"/>
    <w:rsid w:val="00E66FFA"/>
    <w:rsid w:val="00EE6C02"/>
    <w:rsid w:val="00F106AA"/>
    <w:rsid w:val="00FA645D"/>
    <w:rsid w:val="00FC693F"/>
    <w:rsid w:val="5CA1226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2AD3406"/>
  <w14:defaultImageDpi w14:val="300"/>
  <w15:docId w15:val="{82003CD9-0125-442D-897A-4CE187B1F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nhideWhenUsed="1"/>
    <w:lsdException w:name="toa heading" w:semiHidden="1" w:unhideWhenUsed="1"/>
    <w:lsdException w:name="List" w:unhideWhenUsed="1"/>
    <w:lsdException w:name="List Bullet" w:unhideWhenUsed="1"/>
    <w:lsdException w:name="List Number" w:unhideWhenUsed="1"/>
    <w:lsdException w:name="List 2" w:unhideWhenUsed="1"/>
    <w:lsdException w:name="List 3" w:unhideWhenUsed="1"/>
    <w:lsdException w:name="List 4" w:semiHidden="1" w:unhideWhenUsed="1"/>
    <w:lsdException w:name="List 5" w:semiHidden="1" w:unhideWhenUsed="1"/>
    <w:lsdException w:name="List Bullet 2" w:unhideWhenUsed="1"/>
    <w:lsdException w:name="List Bullet 3" w:unhideWhenUsed="1"/>
    <w:lsdException w:name="List Bullet 4" w:semiHidden="1" w:unhideWhenUsed="1"/>
    <w:lsdException w:name="List Bullet 5" w:semiHidden="1" w:unhideWhenUsed="1"/>
    <w:lsdException w:name="List Number 2" w:unhideWhenUsed="1"/>
    <w:lsdException w:name="List Number 3"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semiHidden="1" w:unhideWhenUsed="1"/>
    <w:lsdException w:name="List Continue" w:unhideWhenUsed="1"/>
    <w:lsdException w:name="List Continue 2" w:unhideWhenUsed="1"/>
    <w:lsdException w:name="List Continue 3"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lsdException w:name="Body Text 3"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qFormat="1"/>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spacing w:after="200" w:line="276" w:lineRule="auto"/>
    </w:pPr>
    <w:rPr>
      <w:rFonts w:ascii="Times New Roman" w:eastAsiaTheme="minorEastAsia" w:hAnsi="Times New Roman" w:cstheme="minorBidi"/>
      <w:sz w:val="22"/>
      <w:szCs w:val="22"/>
      <w:lang w:eastAsia="en-US"/>
    </w:rPr>
  </w:style>
  <w:style w:type="paragraph" w:styleId="1">
    <w:name w:val="heading 1"/>
    <w:basedOn w:val="a1"/>
    <w:next w:val="a1"/>
    <w:link w:val="10"/>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1">
    <w:name w:val="heading 3"/>
    <w:basedOn w:val="a1"/>
    <w:next w:val="a1"/>
    <w:link w:val="32"/>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pPr>
      <w:keepNext/>
      <w:keepLines/>
      <w:spacing w:before="200" w:after="0"/>
      <w:outlineLvl w:val="4"/>
    </w:pPr>
    <w:rPr>
      <w:rFonts w:asciiTheme="majorHAnsi" w:eastAsiaTheme="majorEastAsia" w:hAnsiTheme="majorHAnsi" w:cstheme="majorBidi"/>
      <w:color w:val="244061" w:themeColor="accent1" w:themeShade="80"/>
    </w:rPr>
  </w:style>
  <w:style w:type="paragraph" w:styleId="6">
    <w:name w:val="heading 6"/>
    <w:basedOn w:val="a1"/>
    <w:next w:val="a1"/>
    <w:link w:val="60"/>
    <w:uiPriority w:val="9"/>
    <w:semiHidden/>
    <w:unhideWhenUsed/>
    <w:qFormat/>
    <w:pPr>
      <w:keepNext/>
      <w:keepLines/>
      <w:spacing w:before="200" w:after="0"/>
      <w:outlineLvl w:val="5"/>
    </w:pPr>
    <w:rPr>
      <w:rFonts w:asciiTheme="majorHAnsi" w:eastAsiaTheme="majorEastAsia" w:hAnsiTheme="majorHAnsi" w:cstheme="majorBidi"/>
      <w:i/>
      <w:iCs/>
      <w:color w:val="244061" w:themeColor="accent1" w:themeShade="80"/>
    </w:rPr>
  </w:style>
  <w:style w:type="paragraph" w:styleId="7">
    <w:name w:val="heading 7"/>
    <w:basedOn w:val="a1"/>
    <w:next w:val="a1"/>
    <w:link w:val="70"/>
    <w:uiPriority w:val="9"/>
    <w:semiHidden/>
    <w:unhideWhenUsed/>
    <w:qFormat/>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uiPriority w:val="99"/>
    <w:unhideWhenUsed/>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paragraph" w:styleId="33">
    <w:name w:val="List 3"/>
    <w:basedOn w:val="a1"/>
    <w:uiPriority w:val="99"/>
    <w:unhideWhenUsed/>
    <w:pPr>
      <w:ind w:left="1080" w:hanging="360"/>
      <w:contextualSpacing/>
    </w:pPr>
  </w:style>
  <w:style w:type="paragraph" w:styleId="2">
    <w:name w:val="List Number 2"/>
    <w:basedOn w:val="a1"/>
    <w:uiPriority w:val="99"/>
    <w:unhideWhenUsed/>
    <w:pPr>
      <w:numPr>
        <w:numId w:val="1"/>
      </w:numPr>
      <w:contextualSpacing/>
    </w:pPr>
  </w:style>
  <w:style w:type="paragraph" w:styleId="a">
    <w:name w:val="List Number"/>
    <w:basedOn w:val="a1"/>
    <w:uiPriority w:val="99"/>
    <w:unhideWhenUsed/>
    <w:pPr>
      <w:numPr>
        <w:numId w:val="2"/>
      </w:numPr>
      <w:contextualSpacing/>
    </w:pPr>
  </w:style>
  <w:style w:type="paragraph" w:styleId="a7">
    <w:name w:val="caption"/>
    <w:basedOn w:val="a1"/>
    <w:next w:val="a1"/>
    <w:uiPriority w:val="35"/>
    <w:unhideWhenUsed/>
    <w:qFormat/>
    <w:pPr>
      <w:spacing w:line="240" w:lineRule="auto"/>
    </w:pPr>
    <w:rPr>
      <w:b/>
      <w:bCs/>
      <w:color w:val="4F81BD" w:themeColor="accent1"/>
      <w:sz w:val="18"/>
      <w:szCs w:val="18"/>
    </w:rPr>
  </w:style>
  <w:style w:type="paragraph" w:styleId="a0">
    <w:name w:val="List Bullet"/>
    <w:basedOn w:val="a1"/>
    <w:uiPriority w:val="99"/>
    <w:unhideWhenUsed/>
    <w:pPr>
      <w:numPr>
        <w:numId w:val="3"/>
      </w:numPr>
      <w:contextualSpacing/>
    </w:pPr>
  </w:style>
  <w:style w:type="paragraph" w:styleId="34">
    <w:name w:val="Body Text 3"/>
    <w:basedOn w:val="a1"/>
    <w:link w:val="35"/>
    <w:uiPriority w:val="99"/>
    <w:unhideWhenUsed/>
    <w:pPr>
      <w:spacing w:after="120"/>
    </w:pPr>
    <w:rPr>
      <w:sz w:val="16"/>
      <w:szCs w:val="16"/>
    </w:rPr>
  </w:style>
  <w:style w:type="paragraph" w:styleId="30">
    <w:name w:val="List Bullet 3"/>
    <w:basedOn w:val="a1"/>
    <w:uiPriority w:val="99"/>
    <w:unhideWhenUsed/>
    <w:pPr>
      <w:numPr>
        <w:numId w:val="4"/>
      </w:numPr>
      <w:contextualSpacing/>
    </w:pPr>
  </w:style>
  <w:style w:type="paragraph" w:styleId="a8">
    <w:name w:val="Body Text"/>
    <w:basedOn w:val="a1"/>
    <w:link w:val="a9"/>
    <w:uiPriority w:val="99"/>
    <w:unhideWhenUsed/>
    <w:pPr>
      <w:spacing w:after="120"/>
    </w:pPr>
  </w:style>
  <w:style w:type="paragraph" w:styleId="3">
    <w:name w:val="List Number 3"/>
    <w:basedOn w:val="a1"/>
    <w:uiPriority w:val="99"/>
    <w:unhideWhenUsed/>
    <w:pPr>
      <w:numPr>
        <w:numId w:val="5"/>
      </w:numPr>
      <w:contextualSpacing/>
    </w:pPr>
  </w:style>
  <w:style w:type="paragraph" w:styleId="23">
    <w:name w:val="List 2"/>
    <w:basedOn w:val="a1"/>
    <w:uiPriority w:val="99"/>
    <w:unhideWhenUsed/>
    <w:pPr>
      <w:ind w:left="720" w:hanging="360"/>
      <w:contextualSpacing/>
    </w:pPr>
  </w:style>
  <w:style w:type="paragraph" w:styleId="aa">
    <w:name w:val="List Continue"/>
    <w:basedOn w:val="a1"/>
    <w:uiPriority w:val="99"/>
    <w:unhideWhenUsed/>
    <w:pPr>
      <w:spacing w:after="120"/>
      <w:ind w:left="360"/>
      <w:contextualSpacing/>
    </w:pPr>
  </w:style>
  <w:style w:type="paragraph" w:styleId="20">
    <w:name w:val="List Bullet 2"/>
    <w:basedOn w:val="a1"/>
    <w:uiPriority w:val="99"/>
    <w:unhideWhenUsed/>
    <w:pPr>
      <w:numPr>
        <w:numId w:val="6"/>
      </w:numPr>
      <w:contextualSpacing/>
    </w:pPr>
  </w:style>
  <w:style w:type="paragraph" w:styleId="ab">
    <w:name w:val="footer"/>
    <w:basedOn w:val="a1"/>
    <w:link w:val="ac"/>
    <w:uiPriority w:val="99"/>
    <w:unhideWhenUsed/>
    <w:pPr>
      <w:tabs>
        <w:tab w:val="center" w:pos="4680"/>
        <w:tab w:val="right" w:pos="9360"/>
      </w:tabs>
      <w:spacing w:after="0" w:line="240" w:lineRule="auto"/>
    </w:pPr>
  </w:style>
  <w:style w:type="paragraph" w:styleId="ad">
    <w:name w:val="header"/>
    <w:basedOn w:val="a1"/>
    <w:link w:val="ae"/>
    <w:uiPriority w:val="99"/>
    <w:unhideWhenUsed/>
    <w:qFormat/>
    <w:pPr>
      <w:tabs>
        <w:tab w:val="center" w:pos="4680"/>
        <w:tab w:val="right" w:pos="9360"/>
      </w:tabs>
      <w:spacing w:after="0" w:line="240" w:lineRule="auto"/>
    </w:pPr>
  </w:style>
  <w:style w:type="paragraph" w:styleId="af">
    <w:name w:val="Subtitle"/>
    <w:basedOn w:val="a1"/>
    <w:next w:val="a1"/>
    <w:link w:val="af0"/>
    <w:uiPriority w:val="11"/>
    <w:qFormat/>
    <w:rPr>
      <w:rFonts w:asciiTheme="majorHAnsi" w:eastAsiaTheme="majorEastAsia" w:hAnsiTheme="majorHAnsi" w:cstheme="majorBidi"/>
      <w:i/>
      <w:iCs/>
      <w:color w:val="4F81BD" w:themeColor="accent1"/>
      <w:spacing w:val="15"/>
      <w:sz w:val="24"/>
      <w:szCs w:val="24"/>
    </w:rPr>
  </w:style>
  <w:style w:type="paragraph" w:styleId="af1">
    <w:name w:val="List"/>
    <w:basedOn w:val="a1"/>
    <w:uiPriority w:val="99"/>
    <w:unhideWhenUsed/>
    <w:pPr>
      <w:ind w:left="360" w:hanging="360"/>
      <w:contextualSpacing/>
    </w:pPr>
  </w:style>
  <w:style w:type="paragraph" w:styleId="24">
    <w:name w:val="Body Text 2"/>
    <w:basedOn w:val="a1"/>
    <w:link w:val="25"/>
    <w:uiPriority w:val="99"/>
    <w:unhideWhenUsed/>
    <w:pPr>
      <w:spacing w:after="120" w:line="480" w:lineRule="auto"/>
    </w:pPr>
  </w:style>
  <w:style w:type="paragraph" w:styleId="26">
    <w:name w:val="List Continue 2"/>
    <w:basedOn w:val="a1"/>
    <w:uiPriority w:val="99"/>
    <w:unhideWhenUsed/>
    <w:pPr>
      <w:spacing w:after="120"/>
      <w:ind w:left="720"/>
      <w:contextualSpacing/>
    </w:pPr>
  </w:style>
  <w:style w:type="paragraph" w:styleId="af2">
    <w:name w:val="Normal (Web)"/>
    <w:basedOn w:val="a1"/>
    <w:uiPriority w:val="99"/>
    <w:semiHidden/>
    <w:unhideWhenUsed/>
    <w:rPr>
      <w:sz w:val="24"/>
    </w:rPr>
  </w:style>
  <w:style w:type="paragraph" w:styleId="36">
    <w:name w:val="List Continue 3"/>
    <w:basedOn w:val="a1"/>
    <w:uiPriority w:val="99"/>
    <w:unhideWhenUsed/>
    <w:pPr>
      <w:spacing w:after="120"/>
      <w:ind w:left="1080"/>
      <w:contextualSpacing/>
    </w:pPr>
  </w:style>
  <w:style w:type="paragraph" w:styleId="af3">
    <w:name w:val="Title"/>
    <w:basedOn w:val="a1"/>
    <w:next w:val="a1"/>
    <w:link w:val="af4"/>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table" w:styleId="af5">
    <w:name w:val="Table Grid"/>
    <w:basedOn w:val="a3"/>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6">
    <w:name w:val="Light Shading"/>
    <w:basedOn w:val="a3"/>
    <w:uiPriority w:val="60"/>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Pr>
      <w:color w:val="76923C" w:themeColor="accent3" w:themeShade="BF"/>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Pr>
      <w:color w:val="5F497A" w:themeColor="accent4" w:themeShade="BF"/>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Pr>
      <w:color w:val="31849B" w:themeColor="accent5" w:themeShade="BF"/>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Pr>
      <w:color w:val="E36C0A" w:themeColor="accent6" w:themeShade="BF"/>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7">
    <w:name w:val="Light List"/>
    <w:basedOn w:val="a3"/>
    <w:uiPriority w:val="61"/>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8">
    <w:name w:val="Light Grid"/>
    <w:basedOn w:val="a3"/>
    <w:uiPriority w:val="62"/>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3"/>
    <w:uiPriority w:val="62"/>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21">
    <w:name w:val="Light Grid Accent 2"/>
    <w:basedOn w:val="a3"/>
    <w:uiPriority w:val="62"/>
    <w:qFormat/>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31">
    <w:name w:val="Light Grid Accent 3"/>
    <w:basedOn w:val="a3"/>
    <w:uiPriority w:val="62"/>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41">
    <w:name w:val="Light Grid Accent 4"/>
    <w:basedOn w:val="a3"/>
    <w:uiPriority w:val="62"/>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51">
    <w:name w:val="Light Grid Accent 5"/>
    <w:basedOn w:val="a3"/>
    <w:uiPriority w:val="62"/>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61">
    <w:name w:val="Light Grid Accent 6"/>
    <w:basedOn w:val="a3"/>
    <w:uiPriority w:val="62"/>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11">
    <w:name w:val="Medium Shading 1"/>
    <w:basedOn w:val="a3"/>
    <w:uiPriority w:val="63"/>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Pr>
      <w:color w:val="000000" w:themeColor="text1"/>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Pr>
      <w:color w:val="000000" w:themeColor="text1"/>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Pr>
      <w:color w:val="000000" w:themeColor="text1"/>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Pr>
      <w:color w:val="000000" w:themeColor="text1"/>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Pr>
      <w:color w:val="000000" w:themeColor="text1"/>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Pr>
      <w:color w:val="000000" w:themeColor="text1"/>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3-2">
    <w:name w:val="Medium Grid 3 Accent 2"/>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3-3">
    <w:name w:val="Medium Grid 3 Accent 3"/>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3-4">
    <w:name w:val="Medium Grid 3 Accent 4"/>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3-5">
    <w:name w:val="Medium Grid 3 Accent 5"/>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3-6">
    <w:name w:val="Medium Grid 3 Accent 6"/>
    <w:basedOn w:val="a3"/>
    <w:uiPriority w:val="69"/>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af9">
    <w:name w:val="Dark List"/>
    <w:basedOn w:val="a3"/>
    <w:uiPriority w:val="70"/>
    <w:rPr>
      <w:color w:val="FFFFFF" w:themeColor="background1"/>
    </w:rP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Pr>
      <w:color w:val="FFFFFF" w:themeColor="background1"/>
    </w:rP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Pr>
      <w:color w:val="FFFFFF" w:themeColor="background1"/>
    </w:rP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Pr>
      <w:color w:val="FFFFFF" w:themeColor="background1"/>
    </w:rP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Pr>
      <w:color w:val="FFFFFF" w:themeColor="background1"/>
    </w:rP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Pr>
      <w:color w:val="FFFFFF" w:themeColor="background1"/>
    </w:rP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Pr>
      <w:color w:val="FFFFFF" w:themeColor="background1"/>
    </w:rP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a">
    <w:name w:val="Colorful Shading"/>
    <w:basedOn w:val="a3"/>
    <w:uiPriority w:val="71"/>
    <w:rPr>
      <w:color w:val="000000" w:themeColor="text1"/>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Pr>
      <w:color w:val="000000" w:themeColor="text1"/>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Pr>
      <w:color w:val="000000" w:themeColor="text1"/>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Pr>
      <w:color w:val="000000" w:themeColor="text1"/>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Pr>
      <w:color w:val="000000" w:themeColor="text1"/>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Pr>
      <w:color w:val="000000" w:themeColor="text1"/>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Pr>
      <w:color w:val="000000" w:themeColor="text1"/>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b">
    <w:name w:val="Colorful List"/>
    <w:basedOn w:val="a3"/>
    <w:uiPriority w:val="72"/>
    <w:rPr>
      <w:color w:val="000000" w:themeColor="text1"/>
    </w:rP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Pr>
      <w:color w:val="000000" w:themeColor="text1"/>
    </w:rP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Pr>
      <w:color w:val="000000" w:themeColor="text1"/>
    </w:rP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Pr>
      <w:color w:val="000000" w:themeColor="text1"/>
    </w:rP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Pr>
      <w:color w:val="000000" w:themeColor="text1"/>
    </w:rP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Pr>
      <w:color w:val="000000" w:themeColor="text1"/>
    </w:rP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Pr>
      <w:color w:val="000000" w:themeColor="text1"/>
    </w:rP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c">
    <w:name w:val="Colorful Grid"/>
    <w:basedOn w:val="a3"/>
    <w:uiPriority w:val="73"/>
    <w:rPr>
      <w:color w:val="000000" w:themeColor="text1"/>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Pr>
      <w:color w:val="000000" w:themeColor="text1"/>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Pr>
      <w:color w:val="000000" w:themeColor="text1"/>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Pr>
      <w:color w:val="000000" w:themeColor="text1"/>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Pr>
      <w:color w:val="000000" w:themeColor="text1"/>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Pr>
      <w:color w:val="000000" w:themeColor="text1"/>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Pr>
      <w:color w:val="000000" w:themeColor="text1"/>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afd">
    <w:name w:val="Strong"/>
    <w:basedOn w:val="a2"/>
    <w:uiPriority w:val="22"/>
    <w:qFormat/>
    <w:rPr>
      <w:b/>
      <w:bCs/>
    </w:rPr>
  </w:style>
  <w:style w:type="character" w:styleId="afe">
    <w:name w:val="Emphasis"/>
    <w:basedOn w:val="a2"/>
    <w:uiPriority w:val="20"/>
    <w:qFormat/>
    <w:rPr>
      <w:i/>
      <w:iCs/>
    </w:rPr>
  </w:style>
  <w:style w:type="character" w:customStyle="1" w:styleId="ae">
    <w:name w:val="页眉 字符"/>
    <w:basedOn w:val="a2"/>
    <w:link w:val="ad"/>
    <w:uiPriority w:val="99"/>
  </w:style>
  <w:style w:type="character" w:customStyle="1" w:styleId="ac">
    <w:name w:val="页脚 字符"/>
    <w:basedOn w:val="a2"/>
    <w:link w:val="ab"/>
    <w:uiPriority w:val="99"/>
  </w:style>
  <w:style w:type="paragraph" w:styleId="aff">
    <w:name w:val="No Spacing"/>
    <w:uiPriority w:val="1"/>
    <w:qFormat/>
    <w:rPr>
      <w:rFonts w:asciiTheme="minorHAnsi" w:eastAsiaTheme="minorEastAsia" w:hAnsiTheme="minorHAnsi" w:cstheme="minorBidi"/>
      <w:sz w:val="22"/>
      <w:szCs w:val="22"/>
      <w:lang w:eastAsia="en-US"/>
    </w:rPr>
  </w:style>
  <w:style w:type="character" w:customStyle="1" w:styleId="10">
    <w:name w:val="标题 1 字符"/>
    <w:basedOn w:val="a2"/>
    <w:link w:val="1"/>
    <w:uiPriority w:val="9"/>
    <w:rPr>
      <w:rFonts w:asciiTheme="majorHAnsi" w:eastAsiaTheme="majorEastAsia" w:hAnsiTheme="majorHAnsi" w:cstheme="majorBidi"/>
      <w:b/>
      <w:bCs/>
      <w:color w:val="365F91" w:themeColor="accent1" w:themeShade="BF"/>
      <w:sz w:val="28"/>
      <w:szCs w:val="28"/>
    </w:rPr>
  </w:style>
  <w:style w:type="character" w:customStyle="1" w:styleId="22">
    <w:name w:val="标题 2 字符"/>
    <w:basedOn w:val="a2"/>
    <w:link w:val="21"/>
    <w:uiPriority w:val="9"/>
    <w:rPr>
      <w:rFonts w:asciiTheme="majorHAnsi" w:eastAsiaTheme="majorEastAsia" w:hAnsiTheme="majorHAnsi" w:cstheme="majorBidi"/>
      <w:b/>
      <w:bCs/>
      <w:color w:val="4F81BD" w:themeColor="accent1"/>
      <w:sz w:val="26"/>
      <w:szCs w:val="26"/>
    </w:rPr>
  </w:style>
  <w:style w:type="character" w:customStyle="1" w:styleId="32">
    <w:name w:val="标题 3 字符"/>
    <w:basedOn w:val="a2"/>
    <w:link w:val="31"/>
    <w:uiPriority w:val="9"/>
    <w:rPr>
      <w:rFonts w:asciiTheme="majorHAnsi" w:eastAsiaTheme="majorEastAsia" w:hAnsiTheme="majorHAnsi" w:cstheme="majorBidi"/>
      <w:b/>
      <w:bCs/>
      <w:color w:val="4F81BD" w:themeColor="accent1"/>
    </w:rPr>
  </w:style>
  <w:style w:type="character" w:customStyle="1" w:styleId="af4">
    <w:name w:val="标题 字符"/>
    <w:basedOn w:val="a2"/>
    <w:link w:val="af3"/>
    <w:uiPriority w:val="10"/>
    <w:rPr>
      <w:rFonts w:asciiTheme="majorHAnsi" w:eastAsiaTheme="majorEastAsia" w:hAnsiTheme="majorHAnsi" w:cstheme="majorBidi"/>
      <w:color w:val="17365D" w:themeColor="text2" w:themeShade="BF"/>
      <w:spacing w:val="5"/>
      <w:kern w:val="28"/>
      <w:sz w:val="52"/>
      <w:szCs w:val="52"/>
    </w:rPr>
  </w:style>
  <w:style w:type="character" w:customStyle="1" w:styleId="af0">
    <w:name w:val="副标题 字符"/>
    <w:basedOn w:val="a2"/>
    <w:link w:val="af"/>
    <w:uiPriority w:val="11"/>
    <w:rPr>
      <w:rFonts w:asciiTheme="majorHAnsi" w:eastAsiaTheme="majorEastAsia" w:hAnsiTheme="majorHAnsi" w:cstheme="majorBidi"/>
      <w:i/>
      <w:iCs/>
      <w:color w:val="4F81BD" w:themeColor="accent1"/>
      <w:spacing w:val="15"/>
      <w:sz w:val="24"/>
      <w:szCs w:val="24"/>
    </w:rPr>
  </w:style>
  <w:style w:type="paragraph" w:styleId="aff0">
    <w:name w:val="List Paragraph"/>
    <w:basedOn w:val="a1"/>
    <w:uiPriority w:val="34"/>
    <w:qFormat/>
    <w:pPr>
      <w:ind w:left="720"/>
      <w:contextualSpacing/>
    </w:pPr>
  </w:style>
  <w:style w:type="character" w:customStyle="1" w:styleId="a9">
    <w:name w:val="正文文本 字符"/>
    <w:basedOn w:val="a2"/>
    <w:link w:val="a8"/>
    <w:uiPriority w:val="99"/>
  </w:style>
  <w:style w:type="character" w:customStyle="1" w:styleId="25">
    <w:name w:val="正文文本 2 字符"/>
    <w:basedOn w:val="a2"/>
    <w:link w:val="24"/>
    <w:uiPriority w:val="99"/>
  </w:style>
  <w:style w:type="character" w:customStyle="1" w:styleId="35">
    <w:name w:val="正文文本 3 字符"/>
    <w:basedOn w:val="a2"/>
    <w:link w:val="34"/>
    <w:uiPriority w:val="99"/>
    <w:rPr>
      <w:sz w:val="16"/>
      <w:szCs w:val="16"/>
    </w:rPr>
  </w:style>
  <w:style w:type="character" w:customStyle="1" w:styleId="a6">
    <w:name w:val="宏文本 字符"/>
    <w:basedOn w:val="a2"/>
    <w:link w:val="a5"/>
    <w:uiPriority w:val="99"/>
    <w:rPr>
      <w:rFonts w:ascii="Courier" w:hAnsi="Courier"/>
      <w:sz w:val="20"/>
      <w:szCs w:val="20"/>
    </w:rPr>
  </w:style>
  <w:style w:type="paragraph" w:styleId="aff1">
    <w:name w:val="Quote"/>
    <w:basedOn w:val="a1"/>
    <w:next w:val="a1"/>
    <w:link w:val="aff2"/>
    <w:uiPriority w:val="29"/>
    <w:qFormat/>
    <w:rPr>
      <w:i/>
      <w:iCs/>
      <w:color w:val="000000" w:themeColor="text1"/>
    </w:rPr>
  </w:style>
  <w:style w:type="character" w:customStyle="1" w:styleId="aff2">
    <w:name w:val="引用 字符"/>
    <w:basedOn w:val="a2"/>
    <w:link w:val="aff1"/>
    <w:uiPriority w:val="29"/>
    <w:rPr>
      <w:i/>
      <w:iCs/>
      <w:color w:val="000000" w:themeColor="text1"/>
    </w:rPr>
  </w:style>
  <w:style w:type="character" w:customStyle="1" w:styleId="40">
    <w:name w:val="标题 4 字符"/>
    <w:basedOn w:val="a2"/>
    <w:link w:val="4"/>
    <w:uiPriority w:val="9"/>
    <w:semiHidden/>
    <w:rPr>
      <w:rFonts w:asciiTheme="majorHAnsi" w:eastAsiaTheme="majorEastAsia" w:hAnsiTheme="majorHAnsi" w:cstheme="majorBidi"/>
      <w:b/>
      <w:bCs/>
      <w:i/>
      <w:iCs/>
      <w:color w:val="4F81BD" w:themeColor="accent1"/>
    </w:rPr>
  </w:style>
  <w:style w:type="character" w:customStyle="1" w:styleId="50">
    <w:name w:val="标题 5 字符"/>
    <w:basedOn w:val="a2"/>
    <w:link w:val="5"/>
    <w:uiPriority w:val="9"/>
    <w:semiHidden/>
    <w:rPr>
      <w:rFonts w:asciiTheme="majorHAnsi" w:eastAsiaTheme="majorEastAsia" w:hAnsiTheme="majorHAnsi" w:cstheme="majorBidi"/>
      <w:color w:val="244061" w:themeColor="accent1" w:themeShade="80"/>
    </w:rPr>
  </w:style>
  <w:style w:type="character" w:customStyle="1" w:styleId="60">
    <w:name w:val="标题 6 字符"/>
    <w:basedOn w:val="a2"/>
    <w:link w:val="6"/>
    <w:uiPriority w:val="9"/>
    <w:semiHidden/>
    <w:rPr>
      <w:rFonts w:asciiTheme="majorHAnsi" w:eastAsiaTheme="majorEastAsia" w:hAnsiTheme="majorHAnsi" w:cstheme="majorBidi"/>
      <w:i/>
      <w:iCs/>
      <w:color w:val="244061" w:themeColor="accent1" w:themeShade="80"/>
    </w:rPr>
  </w:style>
  <w:style w:type="character" w:customStyle="1" w:styleId="70">
    <w:name w:val="标题 7 字符"/>
    <w:basedOn w:val="a2"/>
    <w:link w:val="7"/>
    <w:uiPriority w:val="9"/>
    <w:semiHidden/>
    <w:rPr>
      <w:rFonts w:asciiTheme="majorHAnsi" w:eastAsiaTheme="majorEastAsia" w:hAnsiTheme="majorHAnsi" w:cstheme="majorBidi"/>
      <w:i/>
      <w:iCs/>
      <w:color w:val="404040" w:themeColor="text1" w:themeTint="BF"/>
    </w:rPr>
  </w:style>
  <w:style w:type="character" w:customStyle="1" w:styleId="80">
    <w:name w:val="标题 8 字符"/>
    <w:basedOn w:val="a2"/>
    <w:link w:val="8"/>
    <w:uiPriority w:val="9"/>
    <w:semiHidden/>
    <w:rPr>
      <w:rFonts w:asciiTheme="majorHAnsi" w:eastAsiaTheme="majorEastAsia" w:hAnsiTheme="majorHAnsi" w:cstheme="majorBidi"/>
      <w:color w:val="4F81BD" w:themeColor="accent1"/>
      <w:sz w:val="20"/>
      <w:szCs w:val="20"/>
    </w:rPr>
  </w:style>
  <w:style w:type="character" w:customStyle="1" w:styleId="90">
    <w:name w:val="标题 9 字符"/>
    <w:basedOn w:val="a2"/>
    <w:link w:val="9"/>
    <w:uiPriority w:val="9"/>
    <w:semiHidden/>
    <w:rPr>
      <w:rFonts w:asciiTheme="majorHAnsi" w:eastAsiaTheme="majorEastAsia" w:hAnsiTheme="majorHAnsi" w:cstheme="majorBidi"/>
      <w:i/>
      <w:iCs/>
      <w:color w:val="404040" w:themeColor="text1" w:themeTint="BF"/>
      <w:sz w:val="20"/>
      <w:szCs w:val="20"/>
    </w:rPr>
  </w:style>
  <w:style w:type="paragraph" w:styleId="aff3">
    <w:name w:val="Intense Quote"/>
    <w:basedOn w:val="a1"/>
    <w:next w:val="a1"/>
    <w:link w:val="aff4"/>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f4">
    <w:name w:val="明显引用 字符"/>
    <w:basedOn w:val="a2"/>
    <w:link w:val="aff3"/>
    <w:uiPriority w:val="30"/>
    <w:rPr>
      <w:b/>
      <w:bCs/>
      <w:i/>
      <w:iCs/>
      <w:color w:val="4F81BD" w:themeColor="accent1"/>
    </w:rPr>
  </w:style>
  <w:style w:type="character" w:customStyle="1" w:styleId="14">
    <w:name w:val="不明显强调1"/>
    <w:basedOn w:val="a2"/>
    <w:uiPriority w:val="19"/>
    <w:qFormat/>
    <w:rPr>
      <w:i/>
      <w:iCs/>
      <w:color w:val="7F7F7F" w:themeColor="text1" w:themeTint="80"/>
    </w:rPr>
  </w:style>
  <w:style w:type="character" w:customStyle="1" w:styleId="15">
    <w:name w:val="明显强调1"/>
    <w:basedOn w:val="a2"/>
    <w:uiPriority w:val="21"/>
    <w:qFormat/>
    <w:rPr>
      <w:b/>
      <w:bCs/>
      <w:i/>
      <w:iCs/>
      <w:color w:val="4F81BD" w:themeColor="accent1"/>
    </w:rPr>
  </w:style>
  <w:style w:type="character" w:customStyle="1" w:styleId="16">
    <w:name w:val="不明显参考1"/>
    <w:basedOn w:val="a2"/>
    <w:uiPriority w:val="31"/>
    <w:qFormat/>
    <w:rPr>
      <w:smallCaps/>
      <w:color w:val="C0504D" w:themeColor="accent2"/>
      <w:u w:val="single"/>
    </w:rPr>
  </w:style>
  <w:style w:type="character" w:customStyle="1" w:styleId="17">
    <w:name w:val="明显参考1"/>
    <w:basedOn w:val="a2"/>
    <w:uiPriority w:val="32"/>
    <w:qFormat/>
    <w:rPr>
      <w:b/>
      <w:bCs/>
      <w:smallCaps/>
      <w:color w:val="C0504D" w:themeColor="accent2"/>
      <w:spacing w:val="5"/>
      <w:u w:val="single"/>
    </w:rPr>
  </w:style>
  <w:style w:type="character" w:customStyle="1" w:styleId="18">
    <w:name w:val="书籍标题1"/>
    <w:basedOn w:val="a2"/>
    <w:uiPriority w:val="33"/>
    <w:qFormat/>
    <w:rPr>
      <w:b/>
      <w:bCs/>
      <w:smallCaps/>
      <w:spacing w:val="5"/>
    </w:rPr>
  </w:style>
  <w:style w:type="paragraph" w:customStyle="1" w:styleId="TOC1">
    <w:name w:val="TOC 标题1"/>
    <w:basedOn w:val="1"/>
    <w:next w:val="a1"/>
    <w:uiPriority w:val="39"/>
    <w:semiHidden/>
    <w:unhideWhenUsed/>
    <w:qFormat/>
    <w:pPr>
      <w:outlineLvl w:val="9"/>
    </w:pPr>
  </w:style>
  <w:style w:type="paragraph" w:customStyle="1" w:styleId="msobibliography0">
    <w:name w:val="msobibliography"/>
    <w:basedOn w:val="a1"/>
    <w:next w:val="a1"/>
    <w:hidden/>
    <w:pPr>
      <w:spacing w:after="0" w:line="360" w:lineRule="auto"/>
      <w:jc w:val="both"/>
    </w:pPr>
    <w:rPr>
      <w:rFonts w:eastAsia="Times New Roman" w:cs="Times New Roman"/>
      <w:sz w:val="20"/>
      <w:szCs w:val="24"/>
      <w:lang w:eastAsia="zh-CN"/>
    </w:rPr>
  </w:style>
  <w:style w:type="paragraph" w:customStyle="1" w:styleId="19">
    <w:name w:val="书目1"/>
    <w:basedOn w:val="a1"/>
    <w:next w:val="a1"/>
    <w:uiPriority w:val="37"/>
    <w:unhideWhenUsed/>
    <w:rsid w:val="0077719B"/>
    <w:pPr>
      <w:spacing w:after="240" w:line="240" w:lineRule="auto"/>
      <w:jc w:val="both"/>
    </w:pPr>
    <w:rPr>
      <w:rFonts w:eastAsia="Times New Roman" w:cs="Times New Roman"/>
      <w:sz w:val="20"/>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Pages>
  <Words>1259</Words>
  <Characters>7178</Characters>
  <Application>Microsoft Office Word</Application>
  <DocSecurity>0</DocSecurity>
  <Lines>59</Lines>
  <Paragraphs>16</Paragraphs>
  <ScaleCrop>false</ScaleCrop>
  <Company/>
  <LinksUpToDate>false</LinksUpToDate>
  <CharactersWithSpaces>8421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dc:description>generated by python-docx</dc:description>
  <cp:lastModifiedBy>Zhen Zhang</cp:lastModifiedBy>
  <cp:revision>9</cp:revision>
  <dcterms:created xsi:type="dcterms:W3CDTF">2026-08-15T15:18:00Z</dcterms:created>
  <dcterms:modified xsi:type="dcterms:W3CDTF">2026-08-15T19:36:00Z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eyJoZGlkIjoiNWIxNTVmN2VhZjNlNTRiZDhiMzdiYjFiYjhkYjUzZjUiLCJ1c2VySWQiOiIxMDU2ODkxMDI3In0=</vt:lpwstr>
  </property>
  <property fmtid="{D5CDD505-2E9C-101B-9397-08002B2CF9AE}" pid="3" name="KSOProductBuildVer">
    <vt:lpwstr>2052-12.1.0.28043</vt:lpwstr>
  </property>
  <property fmtid="{D5CDD505-2E9C-101B-9397-08002B2CF9AE}" pid="4" name="ICV">
    <vt:lpwstr>AAE4562704814301BAE4C7E61D915164_12</vt:lpwstr>
  </property>
</Properties>
</file>